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163C2" w14:textId="7A642175" w:rsidR="00D248E3" w:rsidRDefault="00D248E3" w:rsidP="00D248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BACON</w:t>
      </w:r>
      <w:r>
        <w:rPr>
          <w:rFonts w:cs="Times New Roman"/>
          <w:szCs w:val="24"/>
        </w:rPr>
        <w:t xml:space="preserve">       </w:t>
      </w:r>
      <w:r w:rsidR="00121435">
        <w:rPr>
          <w:rFonts w:cs="Times New Roman"/>
          <w:szCs w:val="24"/>
        </w:rPr>
        <w:t>(</w:t>
      </w:r>
      <w:r>
        <w:rPr>
          <w:rFonts w:cs="Times New Roman"/>
          <w:szCs w:val="24"/>
        </w:rPr>
        <w:t>fl.1412)</w:t>
      </w:r>
    </w:p>
    <w:p w14:paraId="64DCC4AB" w14:textId="77777777" w:rsidR="00D248E3" w:rsidRDefault="00D248E3" w:rsidP="00D248E3">
      <w:pPr>
        <w:pStyle w:val="NoSpacing"/>
        <w:rPr>
          <w:rFonts w:cs="Times New Roman"/>
          <w:szCs w:val="24"/>
        </w:rPr>
      </w:pPr>
    </w:p>
    <w:p w14:paraId="0471C0FF" w14:textId="77777777" w:rsidR="00D248E3" w:rsidRDefault="00D248E3" w:rsidP="00D248E3">
      <w:pPr>
        <w:pStyle w:val="NoSpacing"/>
        <w:rPr>
          <w:rFonts w:cs="Times New Roman"/>
          <w:szCs w:val="24"/>
        </w:rPr>
      </w:pPr>
    </w:p>
    <w:p w14:paraId="1B05A731" w14:textId="77777777" w:rsidR="00D248E3" w:rsidRDefault="00D248E3" w:rsidP="00D248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in</w:t>
      </w:r>
      <w:r>
        <w:rPr>
          <w:rFonts w:cs="Times New Roman"/>
          <w:szCs w:val="24"/>
        </w:rPr>
        <w:tab/>
        <w:t>1412</w:t>
      </w:r>
      <w:r>
        <w:rPr>
          <w:rFonts w:cs="Times New Roman"/>
          <w:szCs w:val="24"/>
        </w:rPr>
        <w:tab/>
        <w:t>He was preaching heresy around Yeovil, Somerset.</w:t>
      </w:r>
    </w:p>
    <w:p w14:paraId="42EBD140" w14:textId="77777777" w:rsidR="00D248E3" w:rsidRDefault="00D248E3" w:rsidP="00D248E3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(“The Early Lollards: A Survey of Popular Lollard Activity in England 1382-1428” by Charles Kightley. Submitted for the degree of Ph.D. in the Department of History of the University of York, September 1475 p.561)</w:t>
      </w:r>
    </w:p>
    <w:p w14:paraId="6BC764E8" w14:textId="77777777" w:rsidR="00D248E3" w:rsidRDefault="00D248E3" w:rsidP="00D248E3">
      <w:pPr>
        <w:pStyle w:val="NoSpacing"/>
        <w:rPr>
          <w:rFonts w:cs="Times New Roman"/>
          <w:szCs w:val="24"/>
        </w:rPr>
      </w:pPr>
    </w:p>
    <w:p w14:paraId="5B76FE42" w14:textId="77777777" w:rsidR="00D248E3" w:rsidRDefault="00D248E3" w:rsidP="00D248E3">
      <w:pPr>
        <w:pStyle w:val="NoSpacing"/>
        <w:rPr>
          <w:rFonts w:cs="Times New Roman"/>
          <w:szCs w:val="24"/>
        </w:rPr>
      </w:pPr>
    </w:p>
    <w:p w14:paraId="7F050C0E" w14:textId="77777777" w:rsidR="00D248E3" w:rsidRDefault="00D248E3" w:rsidP="00D248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October 2022</w:t>
      </w:r>
    </w:p>
    <w:p w14:paraId="1A1F291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11975" w14:textId="77777777" w:rsidR="00D248E3" w:rsidRDefault="00D248E3" w:rsidP="009139A6">
      <w:r>
        <w:separator/>
      </w:r>
    </w:p>
  </w:endnote>
  <w:endnote w:type="continuationSeparator" w:id="0">
    <w:p w14:paraId="281F1977" w14:textId="77777777" w:rsidR="00D248E3" w:rsidRDefault="00D248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7DAB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81BF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664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7A71A" w14:textId="77777777" w:rsidR="00D248E3" w:rsidRDefault="00D248E3" w:rsidP="009139A6">
      <w:r>
        <w:separator/>
      </w:r>
    </w:p>
  </w:footnote>
  <w:footnote w:type="continuationSeparator" w:id="0">
    <w:p w14:paraId="31E6C2A4" w14:textId="77777777" w:rsidR="00D248E3" w:rsidRDefault="00D248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B877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8280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E815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8E3"/>
    <w:rsid w:val="000666E0"/>
    <w:rsid w:val="00121435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248E3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86496"/>
  <w15:chartTrackingRefBased/>
  <w15:docId w15:val="{215218C5-A337-4B6D-8B0A-95476ACE1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2023-01-12T21:06:00Z</dcterms:created>
  <dcterms:modified xsi:type="dcterms:W3CDTF">2023-01-12T21:07:00Z</dcterms:modified>
</cp:coreProperties>
</file>